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63F1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28"/>
          <w:szCs w:val="28"/>
          <w:lang w:val="es-ES"/>
        </w:rPr>
        <w:t>Nota de prensa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6699C207">
            <wp:simplePos x="0" y="0"/>
            <wp:positionH relativeFrom="column">
              <wp:posOffset>-19685</wp:posOffset>
            </wp:positionH>
            <wp:positionV relativeFrom="paragraph">
              <wp:posOffset>-345438</wp:posOffset>
            </wp:positionV>
            <wp:extent cx="1421763" cy="878208"/>
            <wp:effectExtent l="0" t="0" r="0" b="0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763" cy="878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21C22F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18 de junio de 2025</w:t>
      </w:r>
    </w:p>
    <w:p w14:paraId="5523504D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eastAsia="Century Gothic" w:hAnsi="Century Gothic" w:cs="Century Gothic"/>
          <w:color w:val="162056"/>
          <w:sz w:val="48"/>
          <w:szCs w:val="48"/>
          <w:lang w:val="es-ES"/>
        </w:rPr>
      </w:pPr>
    </w:p>
    <w:p w14:paraId="048DFD5E" w14:textId="2E436F43" w:rsidR="0057489F" w:rsidRDefault="0057489F">
      <w:pPr>
        <w:jc w:val="center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El 65 % de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los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profesionales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en España </w:t>
      </w:r>
      <w:r w:rsidR="00E847E1"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no </w:t>
      </w:r>
      <w:proofErr w:type="spellStart"/>
      <w:r w:rsidR="000F4162"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cumplen</w:t>
      </w:r>
      <w:proofErr w:type="spellEnd"/>
      <w:r w:rsidR="000F4162"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con la</w:t>
      </w:r>
      <w:r w:rsidR="00E847E1"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</w:t>
      </w:r>
      <w:proofErr w:type="spellStart"/>
      <w:r w:rsidR="00E847E1"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desconexión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fuera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del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horario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laboral</w:t>
      </w:r>
      <w:proofErr w:type="spellEnd"/>
      <w:r w:rsidR="28F34B86"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, </w:t>
      </w:r>
      <w:proofErr w:type="spellStart"/>
      <w:r w:rsidR="28F34B86"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>según</w:t>
      </w:r>
      <w:proofErr w:type="spellEnd"/>
      <w:r w:rsidR="28F34B86" w:rsidRPr="5ACDF7B4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Edenred</w:t>
      </w:r>
    </w:p>
    <w:p w14:paraId="662F4854" w14:textId="77777777" w:rsidR="001325F8" w:rsidRPr="00833D4F" w:rsidRDefault="001325F8">
      <w:pPr>
        <w:jc w:val="center"/>
        <w:rPr>
          <w:rFonts w:ascii="Century Gothic" w:eastAsia="Century Gothic" w:hAnsi="Century Gothic" w:cs="Century Gothic"/>
          <w:b/>
          <w:color w:val="000000"/>
          <w:sz w:val="44"/>
          <w:szCs w:val="44"/>
          <w:lang w:val="es-ES"/>
        </w:rPr>
      </w:pPr>
    </w:p>
    <w:p w14:paraId="0389B27D" w14:textId="7057C1C1" w:rsidR="0017574A" w:rsidRPr="0017574A" w:rsidRDefault="0017574A" w:rsidP="5ACDF7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5ACDF7B4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>El 71,4 % de los millennials</w:t>
      </w:r>
      <w:r w:rsidR="003D2293" w:rsidRPr="5ACDF7B4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 xml:space="preserve"> jóvenes</w:t>
      </w:r>
      <w:r w:rsidRPr="5ACDF7B4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 xml:space="preserve"> y el 66,7 % de la Generación Z siguen conectados fuera del horario</w:t>
      </w:r>
      <w:r w:rsidR="003D2293" w:rsidRPr="5ACDF7B4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>.</w:t>
      </w:r>
    </w:p>
    <w:p w14:paraId="2BA436C5" w14:textId="22560D68" w:rsidR="1D57E07B" w:rsidRDefault="1D57E07B" w:rsidP="1D57E0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entury Gothic" w:hAnsi="Century Gothic" w:cs="Century Gothic"/>
          <w:b/>
          <w:bCs/>
          <w:color w:val="000000" w:themeColor="text1"/>
          <w:lang w:val="es-ES"/>
        </w:rPr>
      </w:pPr>
    </w:p>
    <w:p w14:paraId="40290EFA" w14:textId="13277726" w:rsidR="0034131E" w:rsidRPr="00ED7249" w:rsidRDefault="00ED7249" w:rsidP="001F79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ED7249">
        <w:rPr>
          <w:rFonts w:ascii="Century Gothic" w:hAnsi="Century Gothic" w:cs="Century Gothic"/>
          <w:b/>
          <w:bCs/>
          <w:color w:val="000000"/>
          <w:lang w:val="es-ES"/>
        </w:rPr>
        <w:t>Madrid, Galicia y Comunidad Valenciana encabezan el ranking de conexión fuera del horario laboral</w:t>
      </w:r>
      <w:r w:rsidR="00240C55">
        <w:rPr>
          <w:rFonts w:ascii="Century Gothic" w:hAnsi="Century Gothic" w:cs="Century Gothic"/>
          <w:b/>
          <w:bCs/>
          <w:color w:val="000000"/>
          <w:lang w:val="es-ES"/>
        </w:rPr>
        <w:t>.</w:t>
      </w:r>
    </w:p>
    <w:p w14:paraId="4AB0F885" w14:textId="77777777" w:rsidR="00584BD2" w:rsidRPr="00833D4F" w:rsidRDefault="00584BD2" w:rsidP="00584B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lang w:val="es-ES"/>
        </w:rPr>
      </w:pPr>
    </w:p>
    <w:p w14:paraId="17FB9AC2" w14:textId="67F3647E" w:rsidR="0034131E" w:rsidRDefault="001325F8">
      <w:pPr>
        <w:jc w:val="both"/>
        <w:rPr>
          <w:rFonts w:ascii="Century Gothic" w:eastAsia="Century Gothic" w:hAnsi="Century Gothic" w:cs="Century Gothic"/>
          <w:color w:val="000000"/>
        </w:rPr>
      </w:pPr>
      <w:r w:rsidRPr="001325F8">
        <w:rPr>
          <w:rFonts w:ascii="Century Gothic" w:eastAsia="Century Gothic" w:hAnsi="Century Gothic" w:cs="Century Gothic"/>
          <w:color w:val="000000"/>
        </w:rPr>
        <w:t xml:space="preserve">Con la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llegada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del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verano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y la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implantación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de las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jornadas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intensivas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en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muchas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empresas,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vuelve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abrirse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el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debate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sobre la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desconexión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digital. A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pesar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de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los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esfuerzos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legislativos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y las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recomendaciones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de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los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expertos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, en España, </w:t>
      </w:r>
      <w:r w:rsidRPr="00584BD2">
        <w:rPr>
          <w:rFonts w:ascii="Century Gothic" w:eastAsia="Century Gothic" w:hAnsi="Century Gothic" w:cs="Century Gothic"/>
          <w:b/>
          <w:bCs/>
          <w:color w:val="000000"/>
        </w:rPr>
        <w:t xml:space="preserve">6 de cada 10 </w:t>
      </w:r>
      <w:proofErr w:type="spellStart"/>
      <w:r w:rsidRPr="00584BD2">
        <w:rPr>
          <w:rFonts w:ascii="Century Gothic" w:eastAsia="Century Gothic" w:hAnsi="Century Gothic" w:cs="Century Gothic"/>
          <w:b/>
          <w:bCs/>
          <w:color w:val="000000"/>
        </w:rPr>
        <w:t>profesionales</w:t>
      </w:r>
      <w:proofErr w:type="spellEnd"/>
      <w:r w:rsidRPr="00584BD2"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  <w:proofErr w:type="spellStart"/>
      <w:r w:rsidRPr="00584BD2">
        <w:rPr>
          <w:rFonts w:ascii="Century Gothic" w:eastAsia="Century Gothic" w:hAnsi="Century Gothic" w:cs="Century Gothic"/>
          <w:b/>
          <w:bCs/>
          <w:color w:val="000000"/>
        </w:rPr>
        <w:t>afirman</w:t>
      </w:r>
      <w:proofErr w:type="spellEnd"/>
      <w:r w:rsidRPr="00584BD2"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  <w:proofErr w:type="spellStart"/>
      <w:r w:rsidRPr="00584BD2">
        <w:rPr>
          <w:rFonts w:ascii="Century Gothic" w:eastAsia="Century Gothic" w:hAnsi="Century Gothic" w:cs="Century Gothic"/>
          <w:b/>
          <w:bCs/>
          <w:color w:val="000000"/>
        </w:rPr>
        <w:t>seguir</w:t>
      </w:r>
      <w:proofErr w:type="spellEnd"/>
      <w:r w:rsidRPr="00584BD2"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  <w:proofErr w:type="spellStart"/>
      <w:r w:rsidRPr="00584BD2">
        <w:rPr>
          <w:rFonts w:ascii="Century Gothic" w:eastAsia="Century Gothic" w:hAnsi="Century Gothic" w:cs="Century Gothic"/>
          <w:b/>
          <w:bCs/>
          <w:color w:val="000000"/>
        </w:rPr>
        <w:t>atendiendo</w:t>
      </w:r>
      <w:proofErr w:type="spellEnd"/>
      <w:r w:rsidRPr="00584BD2"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  <w:proofErr w:type="spellStart"/>
      <w:r w:rsidRPr="00584BD2">
        <w:rPr>
          <w:rFonts w:ascii="Century Gothic" w:eastAsia="Century Gothic" w:hAnsi="Century Gothic" w:cs="Century Gothic"/>
          <w:b/>
          <w:bCs/>
          <w:color w:val="000000"/>
        </w:rPr>
        <w:t>comunicaciones</w:t>
      </w:r>
      <w:proofErr w:type="spellEnd"/>
      <w:r w:rsidRPr="00584BD2"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  <w:proofErr w:type="spellStart"/>
      <w:r w:rsidRPr="00584BD2">
        <w:rPr>
          <w:rFonts w:ascii="Century Gothic" w:eastAsia="Century Gothic" w:hAnsi="Century Gothic" w:cs="Century Gothic"/>
          <w:b/>
          <w:bCs/>
          <w:color w:val="000000"/>
        </w:rPr>
        <w:t>laborales</w:t>
      </w:r>
      <w:proofErr w:type="spellEnd"/>
      <w:r w:rsidRPr="00584BD2"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  <w:proofErr w:type="spellStart"/>
      <w:r w:rsidRPr="00584BD2">
        <w:rPr>
          <w:rFonts w:ascii="Century Gothic" w:eastAsia="Century Gothic" w:hAnsi="Century Gothic" w:cs="Century Gothic"/>
          <w:b/>
          <w:bCs/>
          <w:color w:val="000000"/>
        </w:rPr>
        <w:t>fuera</w:t>
      </w:r>
      <w:proofErr w:type="spellEnd"/>
      <w:r w:rsidRPr="00584BD2">
        <w:rPr>
          <w:rFonts w:ascii="Century Gothic" w:eastAsia="Century Gothic" w:hAnsi="Century Gothic" w:cs="Century Gothic"/>
          <w:b/>
          <w:bCs/>
          <w:color w:val="000000"/>
        </w:rPr>
        <w:t xml:space="preserve"> de su </w:t>
      </w:r>
      <w:proofErr w:type="spellStart"/>
      <w:r w:rsidRPr="00584BD2">
        <w:rPr>
          <w:rFonts w:ascii="Century Gothic" w:eastAsia="Century Gothic" w:hAnsi="Century Gothic" w:cs="Century Gothic"/>
          <w:b/>
          <w:bCs/>
          <w:color w:val="000000"/>
        </w:rPr>
        <w:t>jornada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incluso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en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momentos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de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descanso</w:t>
      </w:r>
      <w:proofErr w:type="spellEnd"/>
      <w:r w:rsidRPr="001325F8">
        <w:rPr>
          <w:rFonts w:ascii="Century Gothic" w:eastAsia="Century Gothic" w:hAnsi="Century Gothic" w:cs="Century Gothic"/>
          <w:color w:val="000000"/>
        </w:rPr>
        <w:t xml:space="preserve"> o </w:t>
      </w:r>
      <w:proofErr w:type="spellStart"/>
      <w:r w:rsidRPr="001325F8">
        <w:rPr>
          <w:rFonts w:ascii="Century Gothic" w:eastAsia="Century Gothic" w:hAnsi="Century Gothic" w:cs="Century Gothic"/>
          <w:color w:val="000000"/>
        </w:rPr>
        <w:t>vacaciones</w:t>
      </w:r>
      <w:proofErr w:type="spellEnd"/>
    </w:p>
    <w:p w14:paraId="2474408C" w14:textId="77777777" w:rsidR="001325F8" w:rsidRPr="00833D4F" w:rsidRDefault="001325F8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26A94207" w14:textId="48F28009" w:rsidR="0034131E" w:rsidRPr="003D5524" w:rsidRDefault="008D77A2" w:rsidP="1D57E07B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Según el último </w:t>
      </w:r>
      <w:r w:rsidRPr="5ACDF7B4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>Estudio de Bienestar y Salud Laboral en España</w:t>
      </w:r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 elaborado por Edenred, plataforma digital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>multisolución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 especializada en beneficios sociales y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>employee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 </w:t>
      </w:r>
      <w:proofErr w:type="spellStart"/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>engagement</w:t>
      </w:r>
      <w:proofErr w:type="spellEnd"/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, </w:t>
      </w:r>
      <w:r w:rsidR="02CED590"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junto a </w:t>
      </w:r>
      <w:r w:rsidR="02CED590" w:rsidRPr="5ACDF7B4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>Savia</w:t>
      </w:r>
      <w:r w:rsidR="02CED590"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, </w:t>
      </w:r>
      <w:r w:rsidRPr="5ACDF7B4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>el 13,4 % de los encuestados reconoce atender llamadas o mensajes de manera habitual fuera del horario laboral</w:t>
      </w:r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>, mientras que</w:t>
      </w:r>
      <w:r w:rsidR="3CBB801E"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 </w:t>
      </w:r>
      <w:r w:rsidRPr="5ACDF7B4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>un 51,3 % lo hace ocasionalmente</w:t>
      </w:r>
      <w:r w:rsidRPr="5ACDF7B4">
        <w:rPr>
          <w:rFonts w:ascii="Century Gothic" w:eastAsia="Century Gothic" w:hAnsi="Century Gothic" w:cs="Century Gothic"/>
          <w:color w:val="000000" w:themeColor="text1"/>
          <w:lang w:val="es-ES"/>
        </w:rPr>
        <w:t>. Solo un 35,2 % afirma desconectar por completo.</w:t>
      </w:r>
    </w:p>
    <w:p w14:paraId="61D7425B" w14:textId="77777777" w:rsidR="008D77A2" w:rsidRDefault="008D77A2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04C051CB" w14:textId="77777777" w:rsidR="008D77A2" w:rsidRPr="008D77A2" w:rsidRDefault="008D77A2" w:rsidP="008D77A2">
      <w:pPr>
        <w:jc w:val="both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lang w:val="es-ES"/>
        </w:rPr>
      </w:pPr>
      <w:r w:rsidRPr="008D77A2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lang w:val="es-ES"/>
        </w:rPr>
        <w:t>La desconexión, una asignatura pendiente</w:t>
      </w:r>
    </w:p>
    <w:p w14:paraId="532CDDD7" w14:textId="77777777" w:rsidR="00E660F9" w:rsidRPr="00E660F9" w:rsidRDefault="00E660F9">
      <w:pPr>
        <w:jc w:val="both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  <w:lang w:val="es-ES"/>
        </w:rPr>
      </w:pPr>
    </w:p>
    <w:p w14:paraId="5723698C" w14:textId="6FC47669" w:rsidR="001F79A2" w:rsidRDefault="001F79A2" w:rsidP="001F79A2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1D57E07B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La cultura del “siempre disponible” sigue muy arraigada en el entorno profesional español. Aunque existen ligeras diferencias según el género o la edad, el problema es generalizado. </w:t>
      </w:r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En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concreto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,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los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profesionales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más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jóvenes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,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Generación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Z (18-24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años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) y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Millennials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de 25 a 34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años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,</w:t>
      </w:r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son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quienes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menos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logran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desconectar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: un 66,7 % y un 71,4 %,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respectivamente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,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atienden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comunicaciones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fuera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del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horario</w:t>
      </w:r>
      <w:proofErr w:type="spellEnd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b/>
          <w:bCs/>
          <w:color w:val="000000" w:themeColor="text1"/>
        </w:rPr>
        <w:t>laboral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. En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comparación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,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los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porcentajes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descienden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hasta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el 60,9 % en el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caso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de la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Generación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X (45-54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años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) y el 61,9 % entre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los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Baby Boomers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más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jóvenes</w:t>
      </w:r>
      <w:proofErr w:type="spellEnd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 xml:space="preserve"> (55-60 </w:t>
      </w:r>
      <w:proofErr w:type="spellStart"/>
      <w:r w:rsidR="00E62368" w:rsidRPr="1D57E07B">
        <w:rPr>
          <w:rFonts w:ascii="Century Gothic" w:eastAsia="Century Gothic" w:hAnsi="Century Gothic" w:cs="Century Gothic"/>
          <w:color w:val="000000" w:themeColor="text1"/>
        </w:rPr>
        <w:t>años</w:t>
      </w:r>
      <w:proofErr w:type="spellEnd"/>
      <w:r w:rsidR="36292F1D" w:rsidRPr="1D57E07B">
        <w:rPr>
          <w:rFonts w:ascii="Century Gothic" w:eastAsia="Century Gothic" w:hAnsi="Century Gothic" w:cs="Century Gothic"/>
          <w:color w:val="000000" w:themeColor="text1"/>
        </w:rPr>
        <w:t>)</w:t>
      </w:r>
      <w:r w:rsidR="00E62368" w:rsidRPr="1D57E07B">
        <w:rPr>
          <w:rFonts w:ascii="Century Gothic" w:eastAsia="Century Gothic" w:hAnsi="Century Gothic" w:cs="Century Gothic"/>
          <w:color w:val="000000" w:themeColor="text1"/>
        </w:rPr>
        <w:t>.</w:t>
      </w:r>
    </w:p>
    <w:p w14:paraId="0FC744C7" w14:textId="03981008" w:rsidR="5ACDF7B4" w:rsidRDefault="5ACDF7B4" w:rsidP="5ACDF7B4">
      <w:pPr>
        <w:jc w:val="both"/>
        <w:rPr>
          <w:rFonts w:ascii="Century Gothic" w:eastAsia="Century Gothic" w:hAnsi="Century Gothic" w:cs="Century Gothic"/>
          <w:color w:val="000000" w:themeColor="text1"/>
          <w:lang w:val="es-ES"/>
        </w:rPr>
      </w:pPr>
    </w:p>
    <w:p w14:paraId="082121D0" w14:textId="77777777" w:rsidR="00CB3941" w:rsidRDefault="00CB3941" w:rsidP="00CB3941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3C53924A">
        <w:rPr>
          <w:rFonts w:ascii="Century Gothic" w:eastAsia="Century Gothic" w:hAnsi="Century Gothic" w:cs="Century Gothic"/>
          <w:color w:val="000000" w:themeColor="text1"/>
          <w:lang w:val="es-ES"/>
        </w:rPr>
        <w:t>Las diferencias territoriales son especialmente notables. Mientras que comunidades como el</w:t>
      </w:r>
      <w:r w:rsidRPr="3C53924A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 xml:space="preserve"> País Vasco (46,2 %) y Castilla y León (41,4 %) lideran el ranking de desconexión</w:t>
      </w:r>
      <w:r w:rsidRPr="3C53924A">
        <w:rPr>
          <w:rFonts w:ascii="Century Gothic" w:eastAsia="Century Gothic" w:hAnsi="Century Gothic" w:cs="Century Gothic"/>
          <w:color w:val="000000" w:themeColor="text1"/>
          <w:lang w:val="es-ES"/>
        </w:rPr>
        <w:t>, es decir, son las regiones donde más profesionales aseguran no tener que responder llamadas ni mensajes fuera de su jornada, otras se sitúan en el extremo opuesto.</w:t>
      </w:r>
    </w:p>
    <w:p w14:paraId="5E8098E3" w14:textId="77777777" w:rsidR="00CB3941" w:rsidRPr="00CB3941" w:rsidRDefault="00CB3941" w:rsidP="00CB3941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7A1ACC4D" w14:textId="18A8A166" w:rsidR="00CB3941" w:rsidRPr="00CB3941" w:rsidRDefault="00CB3941" w:rsidP="00CB3941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3C53924A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>La Comunidad de Madrid destaca como la autonomía con mayor nivel de conexión fuera del horario laboral:</w:t>
      </w:r>
      <w:r w:rsidRPr="3C53924A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 el 68,75 % de los profesionales sigue atendiendo obligaciones laborales una vez finalizada su jornada. Le siguen </w:t>
      </w:r>
      <w:r w:rsidRPr="3C53924A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 xml:space="preserve">Galicia </w:t>
      </w:r>
      <w:r w:rsidRPr="3C53924A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(67,93 %), </w:t>
      </w:r>
      <w:r w:rsidRPr="3C53924A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>Comunidad Valenciana</w:t>
      </w:r>
      <w:r w:rsidRPr="3C53924A">
        <w:rPr>
          <w:rFonts w:ascii="Century Gothic" w:eastAsia="Century Gothic" w:hAnsi="Century Gothic" w:cs="Century Gothic"/>
          <w:color w:val="000000" w:themeColor="text1"/>
          <w:lang w:val="es-ES"/>
        </w:rPr>
        <w:t xml:space="preserve"> (67,38 %) y </w:t>
      </w:r>
      <w:r w:rsidRPr="3C53924A">
        <w:rPr>
          <w:rFonts w:ascii="Century Gothic" w:eastAsia="Century Gothic" w:hAnsi="Century Gothic" w:cs="Century Gothic"/>
          <w:b/>
          <w:bCs/>
          <w:color w:val="000000" w:themeColor="text1"/>
          <w:lang w:val="es-ES"/>
        </w:rPr>
        <w:t xml:space="preserve">Cataluña </w:t>
      </w:r>
      <w:r w:rsidRPr="3C53924A">
        <w:rPr>
          <w:rFonts w:ascii="Century Gothic" w:eastAsia="Century Gothic" w:hAnsi="Century Gothic" w:cs="Century Gothic"/>
          <w:color w:val="000000" w:themeColor="text1"/>
          <w:lang w:val="es-ES"/>
        </w:rPr>
        <w:t>(</w:t>
      </w:r>
      <w:r w:rsidR="00CA154F" w:rsidRPr="3C53924A">
        <w:rPr>
          <w:rFonts w:ascii="Century Gothic" w:eastAsia="Century Gothic" w:hAnsi="Century Gothic" w:cs="Century Gothic"/>
          <w:color w:val="000000" w:themeColor="text1"/>
          <w:lang w:val="es-ES"/>
        </w:rPr>
        <w:t>67,09 %)</w:t>
      </w:r>
      <w:r w:rsidRPr="3C53924A">
        <w:rPr>
          <w:rFonts w:ascii="Century Gothic" w:eastAsia="Century Gothic" w:hAnsi="Century Gothic" w:cs="Century Gothic"/>
          <w:color w:val="000000" w:themeColor="text1"/>
          <w:lang w:val="es-ES"/>
        </w:rPr>
        <w:t>, donde las cifras también muestran una elevada carga digital fuera del tiempo de trabajo</w:t>
      </w:r>
    </w:p>
    <w:p w14:paraId="2C5092CE" w14:textId="77777777" w:rsidR="001D65D3" w:rsidRPr="001F79A2" w:rsidRDefault="001D65D3" w:rsidP="001F79A2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7AF631F4" w14:textId="4E9F610F" w:rsidR="0034131E" w:rsidRDefault="002665D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“La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desconexión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digital es clave para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preservar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el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bienestar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emocional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y la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productividad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a largo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plazo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. No se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trata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solo de un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derecho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legal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, sino de un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hábito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saludable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que las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organizaciones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deben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fomentar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 xml:space="preserve"> </w:t>
      </w:r>
      <w:proofErr w:type="spellStart"/>
      <w:r w:rsidRPr="00124824">
        <w:rPr>
          <w:rFonts w:ascii="Century Gothic" w:eastAsia="Century Gothic" w:hAnsi="Century Gothic" w:cs="Century Gothic"/>
          <w:i/>
          <w:iCs/>
          <w:color w:val="000000"/>
        </w:rPr>
        <w:t>activamente</w:t>
      </w:r>
      <w:proofErr w:type="spellEnd"/>
      <w:r w:rsidRPr="00124824">
        <w:rPr>
          <w:rFonts w:ascii="Century Gothic" w:eastAsia="Century Gothic" w:hAnsi="Century Gothic" w:cs="Century Gothic"/>
          <w:i/>
          <w:iCs/>
          <w:color w:val="000000"/>
        </w:rPr>
        <w:t>”,</w:t>
      </w:r>
      <w:r w:rsidRPr="002665DB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124824">
        <w:rPr>
          <w:rFonts w:ascii="Century Gothic" w:eastAsia="Century Gothic" w:hAnsi="Century Gothic" w:cs="Century Gothic"/>
          <w:b/>
          <w:bCs/>
          <w:color w:val="000000"/>
        </w:rPr>
        <w:t>señala</w:t>
      </w:r>
      <w:proofErr w:type="spellEnd"/>
      <w:r w:rsidRPr="00124824">
        <w:rPr>
          <w:rFonts w:ascii="Century Gothic" w:eastAsia="Century Gothic" w:hAnsi="Century Gothic" w:cs="Century Gothic"/>
          <w:b/>
          <w:bCs/>
          <w:color w:val="000000"/>
        </w:rPr>
        <w:t xml:space="preserve"> Olga </w:t>
      </w:r>
      <w:proofErr w:type="spellStart"/>
      <w:r w:rsidRPr="00124824">
        <w:rPr>
          <w:rFonts w:ascii="Century Gothic" w:eastAsia="Century Gothic" w:hAnsi="Century Gothic" w:cs="Century Gothic"/>
          <w:b/>
          <w:bCs/>
          <w:color w:val="000000"/>
        </w:rPr>
        <w:t>Zografou</w:t>
      </w:r>
      <w:proofErr w:type="spellEnd"/>
      <w:r w:rsidRPr="00124824">
        <w:rPr>
          <w:rFonts w:ascii="Century Gothic" w:eastAsia="Century Gothic" w:hAnsi="Century Gothic" w:cs="Century Gothic"/>
          <w:b/>
          <w:bCs/>
          <w:color w:val="000000"/>
        </w:rPr>
        <w:t xml:space="preserve">, </w:t>
      </w:r>
      <w:proofErr w:type="spellStart"/>
      <w:r w:rsidRPr="00124824">
        <w:rPr>
          <w:rFonts w:ascii="Century Gothic" w:eastAsia="Century Gothic" w:hAnsi="Century Gothic" w:cs="Century Gothic"/>
          <w:b/>
          <w:bCs/>
          <w:color w:val="000000"/>
        </w:rPr>
        <w:t>directora</w:t>
      </w:r>
      <w:proofErr w:type="spellEnd"/>
      <w:r w:rsidRPr="00124824">
        <w:rPr>
          <w:rFonts w:ascii="Century Gothic" w:eastAsia="Century Gothic" w:hAnsi="Century Gothic" w:cs="Century Gothic"/>
          <w:b/>
          <w:bCs/>
          <w:color w:val="000000"/>
        </w:rPr>
        <w:t xml:space="preserve"> de </w:t>
      </w:r>
      <w:proofErr w:type="spellStart"/>
      <w:r w:rsidRPr="00124824">
        <w:rPr>
          <w:rFonts w:ascii="Century Gothic" w:eastAsia="Century Gothic" w:hAnsi="Century Gothic" w:cs="Century Gothic"/>
          <w:b/>
          <w:bCs/>
          <w:color w:val="000000"/>
        </w:rPr>
        <w:t>People</w:t>
      </w:r>
      <w:proofErr w:type="spellEnd"/>
      <w:r w:rsidRPr="00124824">
        <w:rPr>
          <w:rFonts w:ascii="Century Gothic" w:eastAsia="Century Gothic" w:hAnsi="Century Gothic" w:cs="Century Gothic"/>
          <w:b/>
          <w:bCs/>
          <w:color w:val="000000"/>
        </w:rPr>
        <w:t xml:space="preserve"> &amp; CSR de Edenred España.</w:t>
      </w:r>
    </w:p>
    <w:p w14:paraId="3BBD8264" w14:textId="77777777" w:rsidR="006D0E3A" w:rsidRDefault="006D0E3A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31889C32" w14:textId="7344C243" w:rsidR="006D0E3A" w:rsidRPr="006D0E3A" w:rsidRDefault="006D0E3A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En un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contexto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como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el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actual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,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marcado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por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las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jornadas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intensivas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y el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inicio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del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periodo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vacacional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,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reforzar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el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respeto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a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los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tiempos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de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descanso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es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más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necesario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que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nunca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.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Garantizar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una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desconexión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real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no solo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contribuye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a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mejorar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la salud mental de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los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profesionales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, sino que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también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permite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construir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culturas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laborales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más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equilibradas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 xml:space="preserve"> y </w:t>
      </w:r>
      <w:proofErr w:type="spellStart"/>
      <w:r w:rsidRPr="4D00CF74">
        <w:rPr>
          <w:rFonts w:ascii="Century Gothic" w:eastAsia="Century Gothic" w:hAnsi="Century Gothic" w:cs="Century Gothic"/>
          <w:color w:val="000000" w:themeColor="text1"/>
        </w:rPr>
        <w:t>sostenibles</w:t>
      </w:r>
      <w:proofErr w:type="spellEnd"/>
      <w:r w:rsidRPr="4D00CF74">
        <w:rPr>
          <w:rFonts w:ascii="Century Gothic" w:eastAsia="Century Gothic" w:hAnsi="Century Gothic" w:cs="Century Gothic"/>
          <w:color w:val="000000" w:themeColor="text1"/>
        </w:rPr>
        <w:t>.</w:t>
      </w:r>
    </w:p>
    <w:p w14:paraId="7368D78D" w14:textId="6AEE3F2A" w:rsidR="4D00CF74" w:rsidRDefault="4D00CF74" w:rsidP="4D00CF74">
      <w:pPr>
        <w:jc w:val="both"/>
        <w:rPr>
          <w:rFonts w:ascii="Century Gothic" w:eastAsia="Century Gothic" w:hAnsi="Century Gothic" w:cs="Century Gothic"/>
          <w:color w:val="000000" w:themeColor="text1"/>
        </w:rPr>
      </w:pPr>
    </w:p>
    <w:p w14:paraId="15CBF01F" w14:textId="56D74914" w:rsidR="4D00CF74" w:rsidRDefault="4D00CF74" w:rsidP="4D00CF74">
      <w:pPr>
        <w:jc w:val="both"/>
        <w:rPr>
          <w:rFonts w:ascii="Century Gothic" w:eastAsia="Century Gothic" w:hAnsi="Century Gothic" w:cs="Century Gothic"/>
          <w:color w:val="000000" w:themeColor="text1"/>
        </w:rPr>
      </w:pPr>
    </w:p>
    <w:p w14:paraId="51E74DA8" w14:textId="77777777" w:rsidR="0034131E" w:rsidRPr="00833D4F" w:rsidRDefault="00E660F9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lang w:val="es-ES"/>
        </w:rPr>
        <w:t>▬▬</w:t>
      </w:r>
    </w:p>
    <w:p w14:paraId="319B1527" w14:textId="77777777" w:rsidR="0034131E" w:rsidRPr="00833D4F" w:rsidRDefault="0034131E">
      <w:pPr>
        <w:jc w:val="both"/>
        <w:rPr>
          <w:rFonts w:ascii="Century Gothic" w:eastAsia="Century Gothic" w:hAnsi="Century Gothic" w:cs="Century Gothic"/>
          <w:lang w:val="es-ES"/>
        </w:rPr>
      </w:pPr>
    </w:p>
    <w:p w14:paraId="25873AF5" w14:textId="77777777" w:rsidR="0034131E" w:rsidRPr="00833D4F" w:rsidRDefault="00E660F9">
      <w:pPr>
        <w:jc w:val="both"/>
        <w:rPr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Sobre Edenred</w:t>
      </w:r>
    </w:p>
    <w:p w14:paraId="4FED8EE9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67906C8A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Edenred</w:t>
      </w: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es una plataforma digital líder en servicios y pagos, que actúa como el compañero diario de las personas en el trabajo, facilitando la conexión entre más de 60 millones de usuarios y 2 millones de comercios asociados en 45 países, a través de 1 millón de clientes corporativos. </w:t>
      </w:r>
    </w:p>
    <w:p w14:paraId="2AA0D98E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77C6D3E1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Su oferta se basa en soluciones de pago de propósito específico, diseñadas para mejorar la experiencia laboral y la eficiencia empresarial. En el ámbito de la alimentación, Edenred ofrece beneficios como tarjetas de comida y vales de alimentos, que facilitan el acceso a opciones más saludables. En el área de compromiso y bienestar, proporciona soluciones como tarjetas regalo y plataformas de incentivos, que refuerzan la motivación y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fidelización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del talento. En movilidad, facilita el acceso a soluciones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multimodales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, incluyendo carga de vehículos eléctricos, mantenimiento, peajes y estacionamiento, contribuyendo a un entorno de transporte más sostenible. Finalmente, en pagos corporativos, ofrece herramientas como tarjetas virtuales, que optimizan la gestión financiera y simplifican las transacciones empresariales.</w:t>
      </w:r>
    </w:p>
    <w:p w14:paraId="21BB60E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2C80D1F0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Fiel a su propósito, "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Enrich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connections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. For good.", Edenred trabaja para mejorar el bienestar y el poder adquisitivo de los usuarios, incrementar la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atractividad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y eficiencia de las empresas, y dinamizar el mercado laboral y la economía local. Su impacto también se traduce en el fomento de una alimentación más saludable, el acceso a productos más sostenibles y el impulso de una movilidad más ecológica.</w:t>
      </w:r>
    </w:p>
    <w:p w14:paraId="6502A61F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31ABED79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Con un equipo de 12.000 empleados, Edenred se compromete cada día a hacer del mundo laboral un ecosistema más conectado, seguro, eficiente y responsable. En 2024, gracias a su infraestructura tecnológica global, el Grupo gestionó un volumen de negocio cercano a 45.000 millones de euros, operado principalmente a través de aplicaciones móviles, plataformas online y tarjetas.</w:t>
      </w:r>
    </w:p>
    <w:p w14:paraId="2BC1F840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4B5D790E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Edenred cotiza en la Bolsa de París (Euronext) y forma parte de los principales índices bursátiles, incluyendo CAC 40, CAC 40 ESG, CAC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Large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60, Euronext 100, Euronext Tech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Leaders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, FTSE4Good, DJSI Europe Index, DJSI World Index y MSCI Europe.</w:t>
      </w:r>
    </w:p>
    <w:p w14:paraId="5BF9E4B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60992604" w14:textId="08F8B2E4" w:rsidR="0034131E" w:rsidRPr="00833D4F" w:rsidRDefault="00E660F9" w:rsidP="4D00CF74">
      <w:pPr>
        <w:spacing w:line="240" w:lineRule="auto"/>
        <w:jc w:val="both"/>
        <w:rPr>
          <w:rFonts w:ascii="Century Gothic" w:eastAsia="Century Gothic" w:hAnsi="Century Gothic" w:cs="Century Gothic"/>
          <w:i/>
          <w:iCs/>
          <w:color w:val="000000"/>
          <w:sz w:val="16"/>
          <w:szCs w:val="16"/>
          <w:lang w:val="es-ES"/>
        </w:rPr>
      </w:pPr>
      <w:r w:rsidRPr="4D00CF74">
        <w:rPr>
          <w:rFonts w:ascii="Century Gothic" w:eastAsia="Century Gothic" w:hAnsi="Century Gothic" w:cs="Century Gothic"/>
          <w:i/>
          <w:iCs/>
          <w:color w:val="000000" w:themeColor="text1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14:paraId="6E54591E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ES"/>
        </w:rPr>
      </w:pPr>
    </w:p>
    <w:p w14:paraId="34EBC2CB" w14:textId="77777777" w:rsidR="0034131E" w:rsidRDefault="00E660F9">
      <w:pPr>
        <w:spacing w:line="254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CONTACTO</w:t>
      </w:r>
      <w:proofErr w:type="spellEnd"/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 w:rsidTr="4D00CF74">
        <w:trPr>
          <w:trHeight w:val="1725"/>
        </w:trPr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CB8FE" w14:textId="77777777" w:rsidR="0034131E" w:rsidRDefault="0034131E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3E71BA8C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14:paraId="2C0E5145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14:paraId="3C5097B0" w14:textId="77777777" w:rsidR="0034131E" w:rsidRDefault="00E660F9">
            <w:pPr>
              <w:jc w:val="both"/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Communications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Specialist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</w:t>
            </w:r>
          </w:p>
          <w:p w14:paraId="7AD809AF" w14:textId="77777777" w:rsidR="0034131E" w:rsidRDefault="0034131E">
            <w:pPr>
              <w:jc w:val="both"/>
            </w:pPr>
            <w:hyperlink r:id="rId9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14:paraId="4CF87B1B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9073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188D7D39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Newlink Spain </w:t>
            </w:r>
          </w:p>
          <w:p w14:paraId="0709A77C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Marina Gascón | Patricia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Vizcaíno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| Sara García</w:t>
            </w:r>
          </w:p>
          <w:p w14:paraId="186B073B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651 96 34 59</w:t>
            </w:r>
          </w:p>
          <w:p w14:paraId="5D012B56" w14:textId="77777777" w:rsidR="0034131E" w:rsidRDefault="0034131E">
            <w:pPr>
              <w:spacing w:line="251" w:lineRule="auto"/>
            </w:pPr>
            <w:hyperlink r:id="rId10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14:paraId="62FFDE23" w14:textId="77777777" w:rsidR="0034131E" w:rsidRDefault="0034131E">
      <w:pPr>
        <w:tabs>
          <w:tab w:val="left" w:pos="2760"/>
        </w:tabs>
      </w:pPr>
    </w:p>
    <w:sectPr w:rsidR="0034131E"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D7872" w14:textId="77777777" w:rsidR="00DD5276" w:rsidRDefault="00DD5276">
      <w:pPr>
        <w:spacing w:line="240" w:lineRule="auto"/>
      </w:pPr>
      <w:r>
        <w:separator/>
      </w:r>
    </w:p>
  </w:endnote>
  <w:endnote w:type="continuationSeparator" w:id="0">
    <w:p w14:paraId="2B5D8DB4" w14:textId="77777777" w:rsidR="00DD5276" w:rsidRDefault="00DD52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C6F373-6CAF-1E49-AF15-855E38A6CA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D78397E7-89C0-47B6-944B-0D73D7A9AE3A}"/>
    <w:embedBold r:id="rId3" w:fontKey="{9CACB2B6-9938-4877-9997-22D7E2248EFA}"/>
    <w:embedItalic r:id="rId4" w:fontKey="{EE068BEC-C15B-4372-844A-A95A3A76B1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2FE8E63-5D7A-4F1A-BEA2-EFFD35A72A40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70E0C709-A027-4439-9275-486B073FB5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67C6F23-06EA-4521-A6E6-B3F99AE253E9}"/>
    <w:embedItalic r:id="rId8" w:fontKey="{6C4DE570-CBA9-49BF-90DD-AE56EF273E5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5193" w14:textId="77777777" w:rsidR="0034131E" w:rsidRDefault="00E660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A719D" w14:textId="77777777" w:rsidR="00DD5276" w:rsidRDefault="00DD5276">
      <w:pPr>
        <w:spacing w:line="240" w:lineRule="auto"/>
      </w:pPr>
      <w:r>
        <w:separator/>
      </w:r>
    </w:p>
  </w:footnote>
  <w:footnote w:type="continuationSeparator" w:id="0">
    <w:p w14:paraId="72592BB1" w14:textId="77777777" w:rsidR="00DD5276" w:rsidRDefault="00DD52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0246018">
    <w:abstractNumId w:val="1"/>
  </w:num>
  <w:num w:numId="2" w16cid:durableId="620915189">
    <w:abstractNumId w:val="0"/>
  </w:num>
  <w:num w:numId="3" w16cid:durableId="950282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embedTrueTypeFonts/>
  <w:proofState w:spelling="clean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F4162"/>
    <w:rsid w:val="00124824"/>
    <w:rsid w:val="001325F8"/>
    <w:rsid w:val="0017574A"/>
    <w:rsid w:val="0018413A"/>
    <w:rsid w:val="001D65D3"/>
    <w:rsid w:val="001E738B"/>
    <w:rsid w:val="001F79A2"/>
    <w:rsid w:val="00240C55"/>
    <w:rsid w:val="002665DB"/>
    <w:rsid w:val="00323902"/>
    <w:rsid w:val="0034131E"/>
    <w:rsid w:val="003470F9"/>
    <w:rsid w:val="003D2293"/>
    <w:rsid w:val="003D5524"/>
    <w:rsid w:val="0045496E"/>
    <w:rsid w:val="004D721E"/>
    <w:rsid w:val="00550198"/>
    <w:rsid w:val="0057489F"/>
    <w:rsid w:val="00584BD2"/>
    <w:rsid w:val="005A0C33"/>
    <w:rsid w:val="006D0E3A"/>
    <w:rsid w:val="007142AE"/>
    <w:rsid w:val="007526FE"/>
    <w:rsid w:val="00795601"/>
    <w:rsid w:val="00833D4F"/>
    <w:rsid w:val="00857B31"/>
    <w:rsid w:val="008921FE"/>
    <w:rsid w:val="008D77A2"/>
    <w:rsid w:val="00BE1228"/>
    <w:rsid w:val="00C355E6"/>
    <w:rsid w:val="00CA154F"/>
    <w:rsid w:val="00CB3941"/>
    <w:rsid w:val="00D803AC"/>
    <w:rsid w:val="00D87718"/>
    <w:rsid w:val="00DD5276"/>
    <w:rsid w:val="00E22330"/>
    <w:rsid w:val="00E62368"/>
    <w:rsid w:val="00E660F9"/>
    <w:rsid w:val="00E73445"/>
    <w:rsid w:val="00E847E1"/>
    <w:rsid w:val="00EA5BD2"/>
    <w:rsid w:val="00ED7249"/>
    <w:rsid w:val="00EE2FCB"/>
    <w:rsid w:val="00F17223"/>
    <w:rsid w:val="00F348CD"/>
    <w:rsid w:val="02CED590"/>
    <w:rsid w:val="0744660E"/>
    <w:rsid w:val="102BEBD6"/>
    <w:rsid w:val="126F5FA8"/>
    <w:rsid w:val="1D57E07B"/>
    <w:rsid w:val="28F34B86"/>
    <w:rsid w:val="2C3CF23E"/>
    <w:rsid w:val="35530420"/>
    <w:rsid w:val="36292F1D"/>
    <w:rsid w:val="3C53924A"/>
    <w:rsid w:val="3CBB801E"/>
    <w:rsid w:val="44A44946"/>
    <w:rsid w:val="4BE621DD"/>
    <w:rsid w:val="4D00CF74"/>
    <w:rsid w:val="5ACDF7B4"/>
    <w:rsid w:val="5DA99854"/>
    <w:rsid w:val="69E868E0"/>
    <w:rsid w:val="7596A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4EEC3"/>
  <w15:docId w15:val="{3610D63D-37CE-443E-BD70-F4018F187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60" w:lineRule="atLeas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customStyle="1" w:styleId="EdenredDate">
    <w:name w:val="Edenred Date"/>
    <w:basedOn w:val="Encabezado"/>
    <w:pPr>
      <w:jc w:val="right"/>
    </w:pPr>
    <w:rPr>
      <w:sz w:val="20"/>
    </w:rPr>
  </w:style>
  <w:style w:type="paragraph" w:customStyle="1" w:styleId="EdenredTitle">
    <w:name w:val="Edenred Title"/>
    <w:basedOn w:val="Text"/>
    <w:rPr>
      <w:color w:val="162056"/>
      <w:sz w:val="40"/>
      <w:szCs w:val="40"/>
    </w:rPr>
  </w:style>
  <w:style w:type="paragraph" w:customStyle="1" w:styleId="Edenredsubtitle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customStyle="1" w:styleId="Text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customStyle="1" w:styleId="PiedepginaCar">
    <w:name w:val="Pie de página Car"/>
    <w:basedOn w:val="Fuentedeprrafopredeter"/>
    <w:rPr>
      <w:rFonts w:ascii="Arial" w:hAnsi="Arial"/>
      <w:color w:val="11204C"/>
      <w:lang w:eastAsia="en-US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customStyle="1" w:styleId="Page">
    <w:name w:val="Page"/>
    <w:basedOn w:val="Normal"/>
    <w:pPr>
      <w:jc w:val="right"/>
    </w:pPr>
    <w:rPr>
      <w:sz w:val="16"/>
    </w:rPr>
  </w:style>
  <w:style w:type="character" w:customStyle="1" w:styleId="TextCar">
    <w:name w:val="Text Car"/>
    <w:rPr>
      <w:rFonts w:ascii="Century Gothic" w:hAnsi="Century Gothic" w:cs="Arial"/>
      <w:lang w:val="en-US" w:eastAsia="en-US"/>
    </w:rPr>
  </w:style>
  <w:style w:type="paragraph" w:styleId="Textonotapie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customStyle="1" w:styleId="TextonotapieCar">
    <w:name w:val="Texto nota pie Car"/>
    <w:rPr>
      <w:rFonts w:ascii="Century Gothic" w:hAnsi="Century Gothic"/>
      <w:sz w:val="14"/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customStyle="1" w:styleId="Ttulo1Car">
    <w:name w:val="Título 1 Car"/>
    <w:rPr>
      <w:rFonts w:ascii="Arial" w:eastAsia="MS Gothic" w:hAnsi="Arial"/>
      <w:b/>
      <w:bCs/>
      <w:color w:val="17153B"/>
      <w:sz w:val="28"/>
      <w:szCs w:val="28"/>
      <w:lang w:val="en-US" w:eastAsia="en-US"/>
    </w:rPr>
  </w:style>
  <w:style w:type="character" w:customStyle="1" w:styleId="Ttulo2Car">
    <w:name w:val="Título 2 Car"/>
    <w:rPr>
      <w:rFonts w:ascii="Arial" w:eastAsia="MS Gothic" w:hAnsi="Arial"/>
      <w:b/>
      <w:bCs/>
      <w:color w:val="201C50"/>
      <w:sz w:val="26"/>
      <w:szCs w:val="26"/>
      <w:lang w:val="en-US" w:eastAsia="en-US"/>
    </w:rPr>
  </w:style>
  <w:style w:type="character" w:customStyle="1" w:styleId="Ttulo3Car">
    <w:name w:val="Título 3 Car"/>
    <w:rPr>
      <w:rFonts w:ascii="Arial" w:eastAsia="MS Gothic" w:hAnsi="Arial"/>
      <w:b/>
      <w:bCs/>
      <w:color w:val="201C50"/>
      <w:szCs w:val="22"/>
      <w:lang w:val="en-US" w:eastAsia="en-US"/>
    </w:rPr>
  </w:style>
  <w:style w:type="paragraph" w:customStyle="1" w:styleId="Title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customStyle="1" w:styleId="Title1Car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customStyle="1" w:styleId="Title2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customStyle="1" w:styleId="Title2Car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customStyle="1" w:styleId="BulletLead-in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customStyle="1" w:styleId="BulletLead-in1Car">
    <w:name w:val="Bullet Lead-in 1 Car"/>
    <w:rPr>
      <w:rFonts w:ascii="Century Gothic" w:hAnsi="Century Gothic" w:cs="Arial"/>
      <w:b/>
      <w:lang w:val="en-US" w:eastAsia="en-US"/>
    </w:rPr>
  </w:style>
  <w:style w:type="paragraph" w:customStyle="1" w:styleId="BulletLead-in2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customStyle="1" w:styleId="BulletLead-in2Car">
    <w:name w:val="Bullet Lead-in 2 Car"/>
    <w:rPr>
      <w:rFonts w:ascii="Century Gothic" w:hAnsi="Century Gothic"/>
      <w:lang w:eastAsia="en-US"/>
    </w:rPr>
  </w:style>
  <w:style w:type="paragraph" w:styleId="TtuloTDC">
    <w:name w:val="TOC Heading"/>
    <w:basedOn w:val="Ttulo1"/>
    <w:next w:val="Normal"/>
    <w:rPr>
      <w:lang w:eastAsia="fr-FR"/>
    </w:rPr>
  </w:style>
  <w:style w:type="paragraph" w:styleId="Textoindependiente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customStyle="1" w:styleId="TextoindependienteCar">
    <w:name w:val="Texto independiente Car"/>
    <w:rPr>
      <w:rFonts w:ascii="Arial" w:eastAsia="Arial" w:hAnsi="Arial"/>
      <w:color w:val="002060"/>
      <w:szCs w:val="22"/>
      <w:lang w:val="en-US" w:eastAsia="en-US"/>
    </w:rPr>
  </w:style>
  <w:style w:type="character" w:customStyle="1" w:styleId="EncabezadoCar">
    <w:name w:val="Encabezado Car"/>
    <w:rPr>
      <w:rFonts w:ascii="Century Gothic" w:hAnsi="Century Gothic"/>
      <w:sz w:val="28"/>
      <w:lang w:eastAsia="en-US"/>
    </w:rPr>
  </w:style>
  <w:style w:type="character" w:styleId="Hipervnculo">
    <w:name w:val="Hyperlink"/>
    <w:rPr>
      <w:color w:val="55517B"/>
    </w:rPr>
  </w:style>
  <w:style w:type="paragraph" w:styleId="Textonotaalfinal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customStyle="1" w:styleId="TextonotaalfinalCar">
    <w:name w:val="Texto nota al final Car"/>
    <w:rPr>
      <w:rFonts w:ascii="Arial" w:eastAsia="Arial" w:hAnsi="Arial"/>
      <w:color w:val="002060"/>
      <w:lang w:val="en-US" w:eastAsia="en-US"/>
    </w:rPr>
  </w:style>
  <w:style w:type="character" w:styleId="Refdenotaalfinal">
    <w:name w:val="endnote reference"/>
    <w:rPr>
      <w:position w:val="0"/>
      <w:vertAlign w:val="superscript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customStyle="1" w:styleId="TextocomentarioCar">
    <w:name w:val="Texto comentario Car"/>
    <w:rPr>
      <w:rFonts w:ascii="Arial" w:eastAsia="Arial" w:hAnsi="Arial"/>
      <w:color w:val="002060"/>
      <w:lang w:val="en-U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Arial" w:eastAsia="Arial" w:hAnsi="Arial"/>
      <w:b/>
      <w:bCs/>
      <w:color w:val="002060"/>
      <w:lang w:val="en-US" w:eastAsia="en-US"/>
    </w:rPr>
  </w:style>
  <w:style w:type="paragraph" w:styleId="Revisin">
    <w:name w:val="Revision"/>
    <w:pPr>
      <w:suppressAutoHyphens/>
    </w:pPr>
    <w:rPr>
      <w:color w:val="002060"/>
      <w:szCs w:val="22"/>
      <w:lang w:val="en-US" w:eastAsia="en-US"/>
    </w:rPr>
  </w:style>
  <w:style w:type="character" w:styleId="Hipervnculovisitado">
    <w:name w:val="FollowedHyperlink"/>
    <w:rPr>
      <w:color w:val="0F004E"/>
      <w:u w:val="single"/>
    </w:rPr>
  </w:style>
  <w:style w:type="paragraph" w:customStyle="1" w:styleId="Tablecaptiontext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customStyle="1" w:styleId="Tablecolumntitle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customStyle="1" w:styleId="BoilerPlateChar">
    <w:name w:val="Boiler Plate Char"/>
    <w:rPr>
      <w:rFonts w:ascii="Century Gothic" w:eastAsia="Calibri" w:hAnsi="Century Gothic" w:cs="Calibri"/>
      <w:sz w:val="16"/>
      <w:szCs w:val="14"/>
      <w:lang w:val="en-US" w:eastAsia="en-US"/>
    </w:rPr>
  </w:style>
  <w:style w:type="paragraph" w:customStyle="1" w:styleId="BoilerPlate">
    <w:name w:val="Boiler Plate"/>
    <w:basedOn w:val="Normal"/>
    <w:pPr>
      <w:spacing w:line="254" w:lineRule="auto"/>
      <w:jc w:val="both"/>
    </w:pPr>
    <w:rPr>
      <w:rFonts w:ascii="Century Gothic" w:eastAsia="Calibri" w:hAnsi="Century Gothic" w:cs="Calibri"/>
      <w:color w:val="auto"/>
      <w:sz w:val="16"/>
      <w:szCs w:val="14"/>
      <w:lang w:val="en-US"/>
    </w:rPr>
  </w:style>
  <w:style w:type="paragraph" w:customStyle="1" w:styleId="Pagefooter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customStyle="1" w:styleId="Title3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customStyle="1" w:styleId="Title3Car">
    <w:name w:val="Title 3 Car"/>
    <w:basedOn w:val="Fuentedeprrafopredeter"/>
    <w:rPr>
      <w:rFonts w:ascii="Century Gothic" w:hAnsi="Century Gothic" w:cs="Arial"/>
      <w:b/>
      <w:color w:val="003591"/>
      <w:lang w:val="en-US" w:eastAsia="en-US"/>
    </w:rPr>
  </w:style>
  <w:style w:type="paragraph" w:customStyle="1" w:styleId="Lead-in">
    <w:name w:val="Lead-in"/>
    <w:basedOn w:val="Text"/>
  </w:style>
  <w:style w:type="character" w:customStyle="1" w:styleId="Lead-inCar">
    <w:name w:val="Lead-in Car"/>
    <w:basedOn w:val="TextCar"/>
    <w:rPr>
      <w:rFonts w:ascii="Century Gothic" w:hAnsi="Century Gothic" w:cs="Arial"/>
      <w:lang w:val="en-US" w:eastAsia="en-US"/>
    </w:rPr>
  </w:style>
  <w:style w:type="paragraph" w:customStyle="1" w:styleId="BoxBullet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customStyle="1" w:styleId="BoxBullet2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customStyle="1" w:styleId="PrrafodelistaCar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eastAsia="Century Gothic" w:hAnsi="Calibri" w:cs="Calibri"/>
      <w:color w:val="auto"/>
      <w:sz w:val="22"/>
      <w:szCs w:val="22"/>
      <w:lang w:val="en-US" w:eastAsia="fr-FR"/>
    </w:rPr>
  </w:style>
  <w:style w:type="paragraph" w:customStyle="1" w:styleId="paragraph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numbering" w:customStyle="1" w:styleId="LFO10">
    <w:name w:val="LFO10"/>
    <w:basedOn w:val="Sinlista"/>
  </w:style>
  <w:style w:type="numbering" w:customStyle="1" w:styleId="LFO19">
    <w:name w:val="LFO19"/>
    <w:basedOn w:val="Sinlista"/>
  </w:style>
  <w:style w:type="numbering" w:customStyle="1" w:styleId="LFO20">
    <w:name w:val="LFO20"/>
    <w:basedOn w:val="Sinlist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quipo.edenred@newlink-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jandro.delgadosanchez@edenred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883</Words>
  <Characters>5003</Characters>
  <Application>Microsoft Office Word</Application>
  <DocSecurity>0</DocSecurity>
  <Lines>41</Lines>
  <Paragraphs>11</Paragraphs>
  <ScaleCrop>false</ScaleCrop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COURTOIS Cécile</dc:creator>
  <cp:lastModifiedBy>DELGADO SÁNCHEZ Alejandro</cp:lastModifiedBy>
  <cp:revision>2</cp:revision>
  <dcterms:created xsi:type="dcterms:W3CDTF">2025-07-07T16:34:00Z</dcterms:created>
  <dcterms:modified xsi:type="dcterms:W3CDTF">2025-07-07T16:34:00Z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